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B6" w:rsidRDefault="00D136B6" w:rsidP="00660B5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136B6" w:rsidRDefault="00D136B6" w:rsidP="00660B5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55AA" w:rsidRDefault="003A55AA" w:rsidP="00660B5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A55A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437321" cy="5661965"/>
            <wp:effectExtent l="19050" t="0" r="20879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A55AA" w:rsidRPr="005669C0" w:rsidRDefault="003A55AA" w:rsidP="00660B5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17C2" w:rsidRPr="005669C0" w:rsidRDefault="003217C2" w:rsidP="00660B5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55AA" w:rsidRPr="002774B7" w:rsidRDefault="003A55AA" w:rsidP="003A55A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774B7">
        <w:rPr>
          <w:rFonts w:ascii="Times New Roman" w:hAnsi="Times New Roman" w:cs="Times New Roman"/>
          <w:sz w:val="28"/>
          <w:szCs w:val="28"/>
        </w:rPr>
        <w:t>Справка по итогам внутренней системы оценки качества образования БДОУ г Омска «Детский сад № 127» за 2022-2023 учебный год.</w:t>
      </w:r>
    </w:p>
    <w:p w:rsidR="003A55AA" w:rsidRPr="002774B7" w:rsidRDefault="003A55AA" w:rsidP="003A55A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A55AA" w:rsidRPr="002774B7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4B7">
        <w:rPr>
          <w:rFonts w:ascii="Times New Roman" w:hAnsi="Times New Roman" w:cs="Times New Roman"/>
          <w:sz w:val="28"/>
          <w:szCs w:val="28"/>
        </w:rPr>
        <w:t>По результатам ВСОКО в конце 2022-2023 учебного года получены следующие результаты:</w:t>
      </w:r>
    </w:p>
    <w:p w:rsidR="003A55AA" w:rsidRPr="00E043E6" w:rsidRDefault="003A55AA" w:rsidP="003A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43E6">
        <w:rPr>
          <w:rFonts w:ascii="Times New Roman" w:hAnsi="Times New Roman" w:cs="Times New Roman"/>
          <w:sz w:val="28"/>
          <w:szCs w:val="28"/>
        </w:rPr>
        <w:t>В части содержания дошкольного образования соответствия ООП ДО требований ФГОС, а именно:</w:t>
      </w:r>
    </w:p>
    <w:p w:rsidR="003A55AA" w:rsidRPr="009B796B" w:rsidRDefault="003A55AA" w:rsidP="003A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43E6">
        <w:rPr>
          <w:rFonts w:ascii="Times New Roman" w:hAnsi="Times New Roman" w:cs="Times New Roman"/>
          <w:sz w:val="28"/>
          <w:szCs w:val="28"/>
        </w:rPr>
        <w:t xml:space="preserve">соответствие структуры и содержания ООП </w:t>
      </w:r>
      <w:proofErr w:type="gramStart"/>
      <w:r w:rsidRPr="00E043E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043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3E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043E6">
        <w:rPr>
          <w:rFonts w:ascii="Times New Roman" w:hAnsi="Times New Roman" w:cs="Times New Roman"/>
          <w:sz w:val="28"/>
          <w:szCs w:val="28"/>
        </w:rPr>
        <w:t xml:space="preserve"> оценке было набрано максимальное количество баллов. ОПП </w:t>
      </w:r>
      <w:proofErr w:type="gramStart"/>
      <w:r w:rsidRPr="00E043E6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043E6">
        <w:rPr>
          <w:rFonts w:ascii="Times New Roman" w:hAnsi="Times New Roman" w:cs="Times New Roman"/>
          <w:sz w:val="28"/>
          <w:szCs w:val="28"/>
        </w:rPr>
        <w:t xml:space="preserve"> целостно, раскрыты в </w:t>
      </w:r>
      <w:r w:rsidRPr="009B796B">
        <w:rPr>
          <w:rFonts w:ascii="Times New Roman" w:hAnsi="Times New Roman" w:cs="Times New Roman"/>
          <w:sz w:val="28"/>
          <w:szCs w:val="28"/>
        </w:rPr>
        <w:t>полной мере все разделы в соответствии с требованиями ФГОС ДО.</w:t>
      </w:r>
    </w:p>
    <w:p w:rsidR="003A55AA" w:rsidRPr="002E57CF" w:rsidRDefault="003A55AA" w:rsidP="003A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796B">
        <w:rPr>
          <w:rFonts w:ascii="Times New Roman" w:hAnsi="Times New Roman" w:cs="Times New Roman"/>
          <w:sz w:val="28"/>
          <w:szCs w:val="28"/>
        </w:rPr>
        <w:t xml:space="preserve">При анализе психолого-педагогического </w:t>
      </w:r>
      <w:r w:rsidRPr="002E57CF">
        <w:rPr>
          <w:rFonts w:ascii="Times New Roman" w:hAnsi="Times New Roman" w:cs="Times New Roman"/>
          <w:sz w:val="28"/>
          <w:szCs w:val="28"/>
        </w:rPr>
        <w:t>обеспечения образовательной деятельности из 294 набрано 259 баллов. Особое внимание необходимо уделить работе педагогов по реализации прав детей работать самостоятельно, высказывать свое мнение, получать собственные результаты действий и нести ответственность за принятое решение.  Создавать условия для детей с особыми образовательными потребностями для комфортного пребывания в детском коллективе. Учитывать потребности каждого ребенка при организации режимных моментов, образовательной и свободной деятельности. Продолжать развивать у детей коммуникативные способности, строить образовательную деятельность на основе взаимодействия взрослых с детьми. Учить договариваться и улаживать конфликты. Продолжать вовлекать родителей (законных представителей) в жизнь детского сада.</w:t>
      </w:r>
    </w:p>
    <w:p w:rsidR="003A55AA" w:rsidRPr="00C90088" w:rsidRDefault="003A55AA" w:rsidP="003A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088">
        <w:rPr>
          <w:rFonts w:ascii="Times New Roman" w:hAnsi="Times New Roman" w:cs="Times New Roman"/>
          <w:sz w:val="28"/>
          <w:szCs w:val="28"/>
        </w:rPr>
        <w:t>При оценке материально-технической базы ДОУ из 186 получили 173 балла.</w:t>
      </w:r>
    </w:p>
    <w:p w:rsidR="003A55AA" w:rsidRPr="00F03074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0088">
        <w:rPr>
          <w:rFonts w:ascii="Times New Roman" w:hAnsi="Times New Roman" w:cs="Times New Roman"/>
          <w:sz w:val="28"/>
          <w:szCs w:val="28"/>
        </w:rPr>
        <w:t>В учреждении питание организовано на высоком уровне. Наименьший балл был набран в разделе «Доступность среды». Это объясняется тем, что в ДОУ нет условий для инвалидов, имеющих стойкие расстройства функций зрения и слуха (данная категория в детском саду отсутствуют).</w:t>
      </w:r>
    </w:p>
    <w:p w:rsidR="003A55AA" w:rsidRPr="00C90088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088">
        <w:rPr>
          <w:rFonts w:ascii="Times New Roman" w:hAnsi="Times New Roman" w:cs="Times New Roman"/>
          <w:sz w:val="28"/>
          <w:szCs w:val="28"/>
        </w:rPr>
        <w:t>Маркировка имеется на всей мебели без  учета гендерной специфики.</w:t>
      </w:r>
    </w:p>
    <w:p w:rsidR="003A55AA" w:rsidRPr="00C90088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088">
        <w:rPr>
          <w:rFonts w:ascii="Times New Roman" w:hAnsi="Times New Roman" w:cs="Times New Roman"/>
          <w:sz w:val="28"/>
          <w:szCs w:val="28"/>
        </w:rPr>
        <w:t>Педагоги и дети не достаточно оснащены информационно-коммуникативными средствами: отсутствие мобильных интерактивных комплексов в групповых помещениях.</w:t>
      </w:r>
    </w:p>
    <w:p w:rsidR="003A55AA" w:rsidRPr="00F03074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B4581">
        <w:rPr>
          <w:rFonts w:ascii="Times New Roman" w:hAnsi="Times New Roman" w:cs="Times New Roman"/>
          <w:sz w:val="28"/>
          <w:szCs w:val="28"/>
        </w:rPr>
        <w:t>Анализируя кадровые условия образовательной деятельности, выявлено, что 59% педагогов имеют высшее педагогическое образование. Учреждение обеспечивает своевременное повышение квалификации педагогов за счет субвенции</w:t>
      </w:r>
      <w:r>
        <w:rPr>
          <w:rFonts w:ascii="Times New Roman" w:hAnsi="Times New Roman" w:cs="Times New Roman"/>
          <w:sz w:val="28"/>
          <w:szCs w:val="28"/>
        </w:rPr>
        <w:t>, но есть необходимость в организации курсов повы</w:t>
      </w:r>
      <w:r w:rsidRPr="00EB4581">
        <w:rPr>
          <w:rFonts w:ascii="Times New Roman" w:hAnsi="Times New Roman" w:cs="Times New Roman"/>
          <w:sz w:val="28"/>
          <w:szCs w:val="28"/>
        </w:rPr>
        <w:t xml:space="preserve">шения квалификации в области работы с детьми ОВЗ и детей инвалидов. Штат полностью не укомплектован. </w:t>
      </w:r>
    </w:p>
    <w:p w:rsidR="003A55AA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581">
        <w:rPr>
          <w:rFonts w:ascii="Times New Roman" w:hAnsi="Times New Roman" w:cs="Times New Roman"/>
          <w:sz w:val="28"/>
          <w:szCs w:val="28"/>
        </w:rPr>
        <w:lastRenderedPageBreak/>
        <w:t>Рассматривая процессы образовательной деятельности ДОУ, выявлено, что программа развития выполняется в полном объеме. Педагоги активно принимают участие в конкурсах, выставках и других мероприятиях городского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581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4581">
        <w:rPr>
          <w:rFonts w:ascii="Times New Roman" w:hAnsi="Times New Roman" w:cs="Times New Roman"/>
          <w:sz w:val="28"/>
          <w:szCs w:val="28"/>
        </w:rPr>
        <w:t>, всероссийско</w:t>
      </w:r>
      <w:r>
        <w:rPr>
          <w:rFonts w:ascii="Times New Roman" w:hAnsi="Times New Roman" w:cs="Times New Roman"/>
          <w:sz w:val="28"/>
          <w:szCs w:val="28"/>
        </w:rPr>
        <w:t>го уровней.</w:t>
      </w:r>
    </w:p>
    <w:p w:rsidR="003A55AA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703D">
        <w:rPr>
          <w:rFonts w:ascii="Times New Roman" w:hAnsi="Times New Roman" w:cs="Times New Roman"/>
          <w:sz w:val="28"/>
          <w:szCs w:val="28"/>
        </w:rPr>
        <w:t xml:space="preserve">В части «Результативность образовательной деятельности» необходимо увеличить участие детей и педагогов в конкурсах и фестивалях всероссийского и международного уровня. </w:t>
      </w:r>
    </w:p>
    <w:p w:rsidR="003A55AA" w:rsidRPr="00F03074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703D">
        <w:rPr>
          <w:rFonts w:ascii="Times New Roman" w:hAnsi="Times New Roman" w:cs="Times New Roman"/>
          <w:sz w:val="28"/>
          <w:szCs w:val="28"/>
        </w:rPr>
        <w:t xml:space="preserve">На основе анализа ВСОКО прошлого года была выявлена необходимость применения педагогами технологии «Портфолио дошкольника», решение данной вопроса нашло отражение в программе развития ДОУ, которое успешно реализуется.  </w:t>
      </w:r>
      <w:r>
        <w:rPr>
          <w:rFonts w:ascii="Times New Roman" w:hAnsi="Times New Roman" w:cs="Times New Roman"/>
          <w:sz w:val="28"/>
          <w:szCs w:val="28"/>
        </w:rPr>
        <w:t xml:space="preserve">После представления опыта работы в городском проекте </w:t>
      </w:r>
      <w:r w:rsidRPr="00F0249C">
        <w:rPr>
          <w:rFonts w:ascii="Times New Roman" w:hAnsi="Times New Roman" w:cs="Times New Roman"/>
          <w:sz w:val="28"/>
          <w:szCs w:val="28"/>
        </w:rPr>
        <w:t>«Кейс-бокс как средство формирования интеллектуальных способностей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коллективом принято решение реализовать этот проект в детском саду. </w:t>
      </w:r>
      <w:r w:rsidRPr="0004703D">
        <w:rPr>
          <w:rFonts w:ascii="Times New Roman" w:hAnsi="Times New Roman" w:cs="Times New Roman"/>
          <w:sz w:val="28"/>
          <w:szCs w:val="28"/>
        </w:rPr>
        <w:t>Адаптация вновь пришедших детей была усложненной в связи с затянувшимся выходом детей из-за медицинских показателей. Удовлетворенность родителей оказываемыми услугами на среднем уровне.</w:t>
      </w:r>
    </w:p>
    <w:p w:rsidR="003A55AA" w:rsidRPr="00C31F12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1F12">
        <w:rPr>
          <w:rFonts w:ascii="Times New Roman" w:hAnsi="Times New Roman" w:cs="Times New Roman"/>
          <w:sz w:val="28"/>
          <w:szCs w:val="28"/>
        </w:rPr>
        <w:t xml:space="preserve">При оценке качества управления был отмечен высокий уровень комплексной безопасности, информационной доступности, управления охраной труда и организации финансовой и хозяйственной деятельности учреждения. В ДОУ имеется лицензия, но не предоставляются дополнительные образовательные услуги. </w:t>
      </w:r>
    </w:p>
    <w:p w:rsidR="003A55AA" w:rsidRPr="00C31F12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1F12">
        <w:rPr>
          <w:rFonts w:ascii="Times New Roman" w:hAnsi="Times New Roman" w:cs="Times New Roman"/>
          <w:sz w:val="28"/>
          <w:szCs w:val="28"/>
        </w:rPr>
        <w:t xml:space="preserve">При анализе качества финансовых условий отмечено, что уровень оплаты труда педагогических работников соответствует среднему показателю по муниципалитету.  </w:t>
      </w:r>
      <w:r>
        <w:rPr>
          <w:rFonts w:ascii="Times New Roman" w:hAnsi="Times New Roman" w:cs="Times New Roman"/>
          <w:sz w:val="28"/>
          <w:szCs w:val="28"/>
        </w:rPr>
        <w:t>30 ноября 2022 года был открыт второй корпус учреждения, который оборудован по проекту «Демография» всем необходимым материалом. В первом корпусе необходимо</w:t>
      </w:r>
      <w:r w:rsidRPr="00C31F12">
        <w:rPr>
          <w:rFonts w:ascii="Times New Roman" w:hAnsi="Times New Roman" w:cs="Times New Roman"/>
          <w:sz w:val="28"/>
          <w:szCs w:val="28"/>
        </w:rPr>
        <w:t xml:space="preserve"> финансирование на приобретение средств обучения и соответствующих материалов. </w:t>
      </w:r>
    </w:p>
    <w:p w:rsidR="003A55AA" w:rsidRPr="00F0249C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249C">
        <w:rPr>
          <w:rFonts w:ascii="Times New Roman" w:hAnsi="Times New Roman" w:cs="Times New Roman"/>
          <w:sz w:val="28"/>
          <w:szCs w:val="28"/>
        </w:rPr>
        <w:t xml:space="preserve">Учреждение является базовой площадкой по реализации образовательных программ, направленных на духовно-нравственное и гражданско-патриотическое воспитание дошкольников. </w:t>
      </w:r>
    </w:p>
    <w:p w:rsidR="003A55AA" w:rsidRPr="00F03074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0249C">
        <w:rPr>
          <w:rFonts w:ascii="Times New Roman" w:hAnsi="Times New Roman" w:cs="Times New Roman"/>
          <w:sz w:val="28"/>
          <w:szCs w:val="28"/>
        </w:rPr>
        <w:t xml:space="preserve">РППС </w:t>
      </w:r>
      <w:proofErr w:type="gramStart"/>
      <w:r w:rsidRPr="00F0249C"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 w:rsidRPr="00F0249C">
        <w:rPr>
          <w:rFonts w:ascii="Times New Roman" w:hAnsi="Times New Roman" w:cs="Times New Roman"/>
          <w:sz w:val="28"/>
          <w:szCs w:val="28"/>
        </w:rPr>
        <w:t xml:space="preserve"> в соответствии с ФГОС ДО, но имеются недостатки: нет возможности использовать ИКТ (1 корпус), т.к. нет компьютерно-технического обеспечения групповых ячеек. Нет условий для организации пространства  общения родителей по интересам. Оснащение не позволяет обеспечить новизну, мобильность, полифункциональность и сложность РППС.</w:t>
      </w:r>
    </w:p>
    <w:p w:rsidR="003A55AA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249C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3A55AA" w:rsidRPr="00F0249C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249C">
        <w:rPr>
          <w:rFonts w:ascii="Times New Roman" w:hAnsi="Times New Roman" w:cs="Times New Roman"/>
          <w:sz w:val="28"/>
          <w:szCs w:val="28"/>
        </w:rPr>
        <w:t>- уделить внимание работе педагогов по реализации прав детей работать самостоятельно, высказывать свое мнение, получать собственные результаты действий и нести ответственность за принятое решение.  Создавать условия для детей с особыми образовательными потребностями для комфортного пребывания в детском коллективе;</w:t>
      </w:r>
    </w:p>
    <w:p w:rsidR="003A55AA" w:rsidRPr="00F0249C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249C">
        <w:rPr>
          <w:rFonts w:ascii="Times New Roman" w:hAnsi="Times New Roman" w:cs="Times New Roman"/>
          <w:sz w:val="28"/>
          <w:szCs w:val="28"/>
        </w:rPr>
        <w:lastRenderedPageBreak/>
        <w:t>- увеличить долю родителей, принимающих участие в воспитательно-образовательном процессе (участие в конкурсах и мероприятиях);</w:t>
      </w:r>
    </w:p>
    <w:p w:rsidR="003A55AA" w:rsidRPr="00F0249C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249C">
        <w:rPr>
          <w:rFonts w:ascii="Times New Roman" w:hAnsi="Times New Roman" w:cs="Times New Roman"/>
          <w:sz w:val="28"/>
          <w:szCs w:val="28"/>
        </w:rPr>
        <w:t>- развивать социально-коммуникативные навыки детей, строить образовательную деятельность на основе взаимодействия взрослых с детьми</w:t>
      </w:r>
      <w:proofErr w:type="gramStart"/>
      <w:r w:rsidRPr="00F024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24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024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0249C">
        <w:rPr>
          <w:rFonts w:ascii="Times New Roman" w:hAnsi="Times New Roman" w:cs="Times New Roman"/>
          <w:sz w:val="28"/>
          <w:szCs w:val="28"/>
        </w:rPr>
        <w:t>комплектовать педагогические кадры, продолжать обеспечивать своевременное прохождени</w:t>
      </w:r>
      <w:r>
        <w:rPr>
          <w:rFonts w:ascii="Times New Roman" w:hAnsi="Times New Roman" w:cs="Times New Roman"/>
          <w:sz w:val="28"/>
          <w:szCs w:val="28"/>
        </w:rPr>
        <w:t>е курсов повышения квалификации в том числе</w:t>
      </w:r>
      <w:r w:rsidRPr="00EB4581">
        <w:rPr>
          <w:rFonts w:ascii="Times New Roman" w:hAnsi="Times New Roman" w:cs="Times New Roman"/>
          <w:sz w:val="28"/>
          <w:szCs w:val="28"/>
        </w:rPr>
        <w:t xml:space="preserve"> в области работы с детьми ОВЗ и детей инвалидов</w:t>
      </w:r>
    </w:p>
    <w:p w:rsidR="003A55AA" w:rsidRPr="00F0249C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249C">
        <w:rPr>
          <w:rFonts w:ascii="Times New Roman" w:hAnsi="Times New Roman" w:cs="Times New Roman"/>
          <w:sz w:val="28"/>
          <w:szCs w:val="28"/>
        </w:rPr>
        <w:t>- привлекать педагогов и воспитанников к участию в мероприятиях всероссийского и международного уровней;</w:t>
      </w:r>
    </w:p>
    <w:p w:rsidR="003A55AA" w:rsidRPr="00F0249C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249C">
        <w:rPr>
          <w:rFonts w:ascii="Times New Roman" w:hAnsi="Times New Roman" w:cs="Times New Roman"/>
          <w:sz w:val="28"/>
          <w:szCs w:val="28"/>
        </w:rPr>
        <w:t>- принимать участие в инновационных проектах;</w:t>
      </w:r>
    </w:p>
    <w:p w:rsidR="003A55AA" w:rsidRPr="00F0249C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249C">
        <w:rPr>
          <w:rFonts w:ascii="Times New Roman" w:hAnsi="Times New Roman" w:cs="Times New Roman"/>
          <w:sz w:val="28"/>
          <w:szCs w:val="28"/>
        </w:rPr>
        <w:t>- обеспечить адаптацию вновь прибывших детей легкой степени;</w:t>
      </w:r>
    </w:p>
    <w:p w:rsidR="003A55AA" w:rsidRPr="00F0249C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249C">
        <w:rPr>
          <w:rFonts w:ascii="Times New Roman" w:hAnsi="Times New Roman" w:cs="Times New Roman"/>
          <w:sz w:val="28"/>
          <w:szCs w:val="28"/>
        </w:rPr>
        <w:t xml:space="preserve">- в информационно-пространственной среде обеспечить детям возможность использования программных продуктов, развивающих </w:t>
      </w:r>
      <w:proofErr w:type="spellStart"/>
      <w:r w:rsidRPr="00F0249C">
        <w:rPr>
          <w:rFonts w:ascii="Times New Roman" w:hAnsi="Times New Roman" w:cs="Times New Roman"/>
          <w:sz w:val="28"/>
          <w:szCs w:val="28"/>
        </w:rPr>
        <w:t>онлайн-игр</w:t>
      </w:r>
      <w:proofErr w:type="spellEnd"/>
      <w:r w:rsidRPr="00F0249C">
        <w:rPr>
          <w:rFonts w:ascii="Times New Roman" w:hAnsi="Times New Roman" w:cs="Times New Roman"/>
          <w:sz w:val="28"/>
          <w:szCs w:val="28"/>
        </w:rPr>
        <w:t>;</w:t>
      </w:r>
    </w:p>
    <w:p w:rsidR="003A55AA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249C">
        <w:rPr>
          <w:rFonts w:ascii="Times New Roman" w:hAnsi="Times New Roman" w:cs="Times New Roman"/>
          <w:sz w:val="28"/>
          <w:szCs w:val="28"/>
        </w:rPr>
        <w:t>- продолжать пополнять РППС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5AA" w:rsidRPr="00F0249C" w:rsidRDefault="003A55AA" w:rsidP="003A55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и реализовать в детском саду проект </w:t>
      </w:r>
      <w:r w:rsidRPr="002E57CF">
        <w:rPr>
          <w:rFonts w:ascii="Times New Roman" w:hAnsi="Times New Roman" w:cs="Times New Roman"/>
          <w:sz w:val="28"/>
          <w:szCs w:val="28"/>
        </w:rPr>
        <w:t>«Кейс-бокс как средство формирования интеллектуальных способностей дошкольников»</w:t>
      </w:r>
      <w:r w:rsidRPr="00F0249C">
        <w:rPr>
          <w:rFonts w:ascii="Times New Roman" w:hAnsi="Times New Roman" w:cs="Times New Roman"/>
          <w:sz w:val="28"/>
          <w:szCs w:val="28"/>
        </w:rPr>
        <w:t>.</w:t>
      </w:r>
    </w:p>
    <w:p w:rsidR="0043483B" w:rsidRPr="00357D60" w:rsidRDefault="0043483B" w:rsidP="003A55A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43483B" w:rsidRPr="00357D60" w:rsidSect="003A55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D60"/>
    <w:rsid w:val="00101CCE"/>
    <w:rsid w:val="0015643B"/>
    <w:rsid w:val="00194994"/>
    <w:rsid w:val="002C21E9"/>
    <w:rsid w:val="002C6379"/>
    <w:rsid w:val="003038F9"/>
    <w:rsid w:val="003217C2"/>
    <w:rsid w:val="00355DE0"/>
    <w:rsid w:val="00357D60"/>
    <w:rsid w:val="003A55AA"/>
    <w:rsid w:val="003E04B8"/>
    <w:rsid w:val="0043483B"/>
    <w:rsid w:val="005669C0"/>
    <w:rsid w:val="005F1008"/>
    <w:rsid w:val="005F28F9"/>
    <w:rsid w:val="00660B50"/>
    <w:rsid w:val="006C3E32"/>
    <w:rsid w:val="007D578D"/>
    <w:rsid w:val="00811C72"/>
    <w:rsid w:val="0089229C"/>
    <w:rsid w:val="00981B7F"/>
    <w:rsid w:val="009C1DB9"/>
    <w:rsid w:val="00C74910"/>
    <w:rsid w:val="00CD1F9A"/>
    <w:rsid w:val="00D136B6"/>
    <w:rsid w:val="00D36B9B"/>
    <w:rsid w:val="00D72962"/>
    <w:rsid w:val="00D84475"/>
    <w:rsid w:val="00EE72CB"/>
    <w:rsid w:val="00FA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4;&#1082;&#1089;&#1072;&#1085;&#1072;\&#1042;&#1057;&#1054;&#1050;&#1054;\127\&#1056;&#1045;&#1047;&#1059;&#1051;&#1068;&#1058;&#1040;&#1058;&#1067;\2022-2023\&#1080;&#1090;&#1086;&#1075;%202021-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ВСОКО (итог) 2022-2023 уч.год</a:t>
            </a:r>
          </a:p>
        </c:rich>
      </c:tx>
    </c:title>
    <c:plotArea>
      <c:layout/>
      <c:radarChart>
        <c:radarStyle val="marker"/>
        <c:ser>
          <c:idx val="0"/>
          <c:order val="0"/>
          <c:tx>
            <c:strRef>
              <c:f>'таблица итог '!$C$3</c:f>
              <c:strCache>
                <c:ptCount val="1"/>
                <c:pt idx="0">
                  <c:v>максим.</c:v>
                </c:pt>
              </c:strCache>
            </c:strRef>
          </c:tx>
          <c:cat>
            <c:strRef>
              <c:f>'таблица итог '!$B$4:$B$13</c:f>
              <c:strCache>
                <c:ptCount val="10"/>
                <c:pt idx="0">
                  <c:v>Результативность образовательной деятельности ДОО</c:v>
                </c:pt>
                <c:pt idx="1">
                  <c:v>Качество управления ДОО</c:v>
                </c:pt>
                <c:pt idx="2">
                  <c:v>Качество финансовых условий осуществления обр-ой деят-ти ДОО</c:v>
                </c:pt>
                <c:pt idx="3">
                  <c:v>Предметно-пространственная среда организации обр-ой деят-ти</c:v>
                </c:pt>
                <c:pt idx="4">
                  <c:v>Информационно-методических условий организации  обр-ой деят-ти</c:v>
                </c:pt>
                <c:pt idx="5">
                  <c:v>Структура и содержание ООП ДО</c:v>
                </c:pt>
                <c:pt idx="6">
                  <c:v>Психолого-педагогические условия обр-ой деят-ти</c:v>
                </c:pt>
                <c:pt idx="7">
                  <c:v>Материально-техническая среда организации</c:v>
                </c:pt>
                <c:pt idx="8">
                  <c:v>Кадровые условия образовательной деятельности</c:v>
                </c:pt>
                <c:pt idx="9">
                  <c:v>Процессы образовательной деятельности  </c:v>
                </c:pt>
              </c:strCache>
            </c:strRef>
          </c:cat>
          <c:val>
            <c:numRef>
              <c:f>'таблица итог '!$C$4:$C$13</c:f>
              <c:numCache>
                <c:formatCode>General</c:formatCode>
                <c:ptCount val="10"/>
                <c:pt idx="0">
                  <c:v>92</c:v>
                </c:pt>
                <c:pt idx="1">
                  <c:v>84</c:v>
                </c:pt>
                <c:pt idx="2">
                  <c:v>42</c:v>
                </c:pt>
                <c:pt idx="3">
                  <c:v>261</c:v>
                </c:pt>
                <c:pt idx="4">
                  <c:v>84</c:v>
                </c:pt>
                <c:pt idx="5">
                  <c:v>33</c:v>
                </c:pt>
                <c:pt idx="6">
                  <c:v>294</c:v>
                </c:pt>
                <c:pt idx="7">
                  <c:v>186</c:v>
                </c:pt>
                <c:pt idx="8">
                  <c:v>66</c:v>
                </c:pt>
                <c:pt idx="9">
                  <c:v>60</c:v>
                </c:pt>
              </c:numCache>
            </c:numRef>
          </c:val>
        </c:ser>
        <c:ser>
          <c:idx val="1"/>
          <c:order val="1"/>
          <c:tx>
            <c:strRef>
              <c:f>'таблица итог '!$D$3</c:f>
              <c:strCache>
                <c:ptCount val="1"/>
                <c:pt idx="0">
                  <c:v>самооценка</c:v>
                </c:pt>
              </c:strCache>
            </c:strRef>
          </c:tx>
          <c:cat>
            <c:strRef>
              <c:f>'таблица итог '!$B$4:$B$13</c:f>
              <c:strCache>
                <c:ptCount val="10"/>
                <c:pt idx="0">
                  <c:v>Результативность образовательной деятельности ДОО</c:v>
                </c:pt>
                <c:pt idx="1">
                  <c:v>Качество управления ДОО</c:v>
                </c:pt>
                <c:pt idx="2">
                  <c:v>Качество финансовых условий осуществления обр-ой деят-ти ДОО</c:v>
                </c:pt>
                <c:pt idx="3">
                  <c:v>Предметно-пространственная среда организации обр-ой деят-ти</c:v>
                </c:pt>
                <c:pt idx="4">
                  <c:v>Информационно-методических условий организации  обр-ой деят-ти</c:v>
                </c:pt>
                <c:pt idx="5">
                  <c:v>Структура и содержание ООП ДО</c:v>
                </c:pt>
                <c:pt idx="6">
                  <c:v>Психолого-педагогические условия обр-ой деят-ти</c:v>
                </c:pt>
                <c:pt idx="7">
                  <c:v>Материально-техническая среда организации</c:v>
                </c:pt>
                <c:pt idx="8">
                  <c:v>Кадровые условия образовательной деятельности</c:v>
                </c:pt>
                <c:pt idx="9">
                  <c:v>Процессы образовательной деятельности  </c:v>
                </c:pt>
              </c:strCache>
            </c:strRef>
          </c:cat>
          <c:val>
            <c:numRef>
              <c:f>'таблица итог '!$D$4:$D$13</c:f>
              <c:numCache>
                <c:formatCode>General</c:formatCode>
                <c:ptCount val="10"/>
                <c:pt idx="0">
                  <c:v>50</c:v>
                </c:pt>
                <c:pt idx="1">
                  <c:v>62</c:v>
                </c:pt>
                <c:pt idx="2">
                  <c:v>24</c:v>
                </c:pt>
                <c:pt idx="3">
                  <c:v>193</c:v>
                </c:pt>
                <c:pt idx="4">
                  <c:v>64</c:v>
                </c:pt>
                <c:pt idx="5">
                  <c:v>33</c:v>
                </c:pt>
                <c:pt idx="6">
                  <c:v>258</c:v>
                </c:pt>
                <c:pt idx="7">
                  <c:v>173</c:v>
                </c:pt>
                <c:pt idx="8">
                  <c:v>33</c:v>
                </c:pt>
                <c:pt idx="9">
                  <c:v>40</c:v>
                </c:pt>
              </c:numCache>
            </c:numRef>
          </c:val>
        </c:ser>
        <c:ser>
          <c:idx val="2"/>
          <c:order val="2"/>
          <c:tx>
            <c:strRef>
              <c:f>'таблица итог '!$E$3</c:f>
              <c:strCache>
                <c:ptCount val="1"/>
                <c:pt idx="0">
                  <c:v>эксп.оценка</c:v>
                </c:pt>
              </c:strCache>
            </c:strRef>
          </c:tx>
          <c:cat>
            <c:strRef>
              <c:f>'таблица итог '!$B$4:$B$13</c:f>
              <c:strCache>
                <c:ptCount val="10"/>
                <c:pt idx="0">
                  <c:v>Результативность образовательной деятельности ДОО</c:v>
                </c:pt>
                <c:pt idx="1">
                  <c:v>Качество управления ДОО</c:v>
                </c:pt>
                <c:pt idx="2">
                  <c:v>Качество финансовых условий осуществления обр-ой деят-ти ДОО</c:v>
                </c:pt>
                <c:pt idx="3">
                  <c:v>Предметно-пространственная среда организации обр-ой деят-ти</c:v>
                </c:pt>
                <c:pt idx="4">
                  <c:v>Информационно-методических условий организации  обр-ой деят-ти</c:v>
                </c:pt>
                <c:pt idx="5">
                  <c:v>Структура и содержание ООП ДО</c:v>
                </c:pt>
                <c:pt idx="6">
                  <c:v>Психолого-педагогические условия обр-ой деят-ти</c:v>
                </c:pt>
                <c:pt idx="7">
                  <c:v>Материально-техническая среда организации</c:v>
                </c:pt>
                <c:pt idx="8">
                  <c:v>Кадровые условия образовательной деятельности</c:v>
                </c:pt>
                <c:pt idx="9">
                  <c:v>Процессы образовательной деятельности  </c:v>
                </c:pt>
              </c:strCache>
            </c:strRef>
          </c:cat>
          <c:val>
            <c:numRef>
              <c:f>'таблица итог '!$E$4:$E$13</c:f>
              <c:numCache>
                <c:formatCode>General</c:formatCode>
                <c:ptCount val="10"/>
              </c:numCache>
            </c:numRef>
          </c:val>
        </c:ser>
        <c:dLbls>
          <c:showVal val="1"/>
        </c:dLbls>
        <c:axId val="83495168"/>
        <c:axId val="83496960"/>
      </c:radarChart>
      <c:catAx>
        <c:axId val="83495168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crossAx val="83496960"/>
        <c:crosses val="autoZero"/>
        <c:auto val="1"/>
        <c:lblAlgn val="ctr"/>
        <c:lblOffset val="100"/>
      </c:catAx>
      <c:valAx>
        <c:axId val="834969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349516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2021-06-09T10:14:00Z</cp:lastPrinted>
  <dcterms:created xsi:type="dcterms:W3CDTF">2021-06-09T07:14:00Z</dcterms:created>
  <dcterms:modified xsi:type="dcterms:W3CDTF">2023-04-07T05:57:00Z</dcterms:modified>
</cp:coreProperties>
</file>